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92.png" ContentType="image/png"/>
  <Override PartName="/word/media/rId95.png" ContentType="image/png"/>
  <Override PartName="/word/media/rId89.png" ContentType="image/png"/>
  <Override PartName="/word/media/rId39.png" ContentType="image/png"/>
  <Override PartName="/word/media/rId43.png" ContentType="image/png"/>
  <Override PartName="/word/media/rId46.png" ContentType="image/png"/>
  <Override PartName="/word/media/rId50.png" ContentType="image/png"/>
  <Override PartName="/word/media/rId53.png" ContentType="image/png"/>
  <Override PartName="/word/media/rId83.png" ContentType="image/png"/>
  <Override PartName="/word/media/rId80.png" ContentType="image/png"/>
  <Override PartName="/word/media/rId77.png" ContentType="image/png"/>
  <Override PartName="/word/media/rId65.png" ContentType="image/png"/>
  <Override PartName="/word/media/rId57.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p>
      <w:pPr>
        <w:pStyle w:val="FirstParagraph"/>
      </w:pPr>
      <w:r>
        <w:t xml:space="preserve">TEST CHANGE</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 logging of trees will decrease the respiration rates because of the strong decrease in vegetation activity and microbiota associated. In turn, addition of slash will provide labile organic matter to decompose increasing the respiration rates. We also hypothesized that the variation in soil respiration would be mainly dependent on microclimatic variables (soil temperature and moisture), especially in the management treatments where vegetation was removed, since heterotrophic respiration will prevail over autotrophic respiration. Moreover, the sensitivity of soil respiration to microclimatic conditions will depend on the type of climate/forest, being the Mediterranean the most sensitive as the microbial communities will be better adapted to the strong seasonal changes in water availability.</w:t>
      </w:r>
    </w:p>
    <w:p>
      <w:pPr>
        <w:pStyle w:val="BodyText"/>
      </w:pPr>
      <w:r>
        <w:t xml:space="preserve">To test these hypotheses, we have monthly recorded data on soil respiration and microclimate in three replicated Quercus forests across Europe subjected to different forest management strategies during three years. We have analysed the sensitivity of soil respiration to microclimate (i.e., soil temperature and soil moisture) by constructing a mechanistic model…</w:t>
      </w:r>
    </w:p>
    <w:bookmarkEnd w:id="21"/>
    <w:bookmarkStart w:id="38"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soil-physical-chemical-analyses"/>
    <w:p>
      <w:pPr>
        <w:pStyle w:val="Heading2"/>
      </w:pPr>
      <w:r>
        <w:t xml:space="preserve">Soil physical-chemical analyses</w:t>
      </w:r>
    </w:p>
    <w:p>
      <w:pPr>
        <w:pStyle w:val="FirstParagraph"/>
      </w:pPr>
      <w:r>
        <w:t xml:space="preserve">Chemical analyses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
    <w:p>
      <w:pPr>
        <w:pStyle w:val="Heading2"/>
      </w:pPr>
      <w:r>
        <w:t xml:space="preserve">Parametric model</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seaslonalityis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D</m:t>
                </m:r>
                <m:r>
                  <m:t>B</m:t>
                </m:r>
                <m:r>
                  <m:t>H</m:t>
                </m:r>
                <m:r>
                  <m:rPr>
                    <m:sty m:val="p"/>
                  </m:rPr>
                  <m:t>,</m:t>
                </m:r>
                <m:r>
                  <m:t>B</m:t>
                </m:r>
                <m:r>
                  <m:t>D</m:t>
                </m:r>
                <m:r>
                  <m:rPr>
                    <m:sty m:val="p"/>
                  </m:rPr>
                  <m:t>,</m:t>
                </m:r>
                <m:r>
                  <m:t>p</m:t>
                </m:r>
                <m:r>
                  <m:t>o</m:t>
                </m:r>
                <m:r>
                  <m:t>r</m:t>
                </m:r>
                <m:r>
                  <m:rPr>
                    <m:sty m:val="p"/>
                  </m:rPr>
                  <m:t>,</m:t>
                </m:r>
                <m:r>
                  <m:t>p</m:t>
                </m:r>
                <m:r>
                  <m:t>H</m:t>
                </m:r>
                <m:r>
                  <m:rPr>
                    <m:sty m:val="p"/>
                  </m:rPr>
                  <m:t>,</m:t>
                </m:r>
                <m:r>
                  <m:t>P</m:t>
                </m:r>
                <m:r>
                  <m:rPr>
                    <m:sty m:val="p"/>
                  </m:rPr>
                  <m:t>,</m:t>
                </m:r>
                <m:sSub>
                  <m:e>
                    <m:r>
                      <m:t>N</m:t>
                    </m:r>
                  </m:e>
                  <m:sub>
                    <m:r>
                      <m:t>t</m:t>
                    </m:r>
                    <m:r>
                      <m:t>o</m:t>
                    </m:r>
                    <m:r>
                      <m:t>t</m:t>
                    </m:r>
                  </m:sub>
                </m:sSub>
                <m:r>
                  <m:rPr>
                    <m:sty m:val="p"/>
                  </m:rPr>
                  <m:t>,</m:t>
                </m:r>
                <m:r>
                  <m:t>C</m:t>
                </m:r>
                <m:r>
                  <m:t>t</m:t>
                </m:r>
                <m:r>
                  <m:t>o</m:t>
                </m:r>
                <m:r>
                  <m:t>t</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bulk density (</w:t>
      </w:r>
      <m:oMath>
        <m:r>
          <m:t>B</m:t>
        </m:r>
        <m:r>
          <m:t>D</m:t>
        </m:r>
      </m:oMath>
      <w:r>
        <w:t xml:space="preserve">), porosity (</w:t>
      </w:r>
      <m:oMath>
        <m:r>
          <m:t>p</m:t>
        </m:r>
        <m:r>
          <m:t>o</m:t>
        </m:r>
        <m:r>
          <m:t>r</m:t>
        </m:r>
      </m:oMath>
      <w:r>
        <w:t xml:space="preserve">), pH, phosophorous (</w:t>
      </w:r>
      <m:oMath>
        <m:r>
          <m:t>P</m:t>
        </m:r>
      </m:oMath>
      <w:r>
        <w:t xml:space="preserve">), total nitrogen (</w:t>
      </w:r>
      <m:oMath>
        <m:sSub>
          <m:e>
            <m:r>
              <m:t>N</m:t>
            </m:r>
          </m:e>
          <m:sub>
            <m:r>
              <m:t>t</m:t>
            </m:r>
            <m:r>
              <m:t>o</m:t>
            </m:r>
            <m:r>
              <m:t>t</m:t>
            </m:r>
          </m:sub>
        </m:sSub>
      </m:oMath>
      <w:r>
        <w:t xml:space="preserve">), total carbon (</w:t>
      </w:r>
      <m:oMath>
        <m:sSub>
          <m:e>
            <m:r>
              <m:t>C</m:t>
            </m:r>
          </m:e>
          <m:sub>
            <m:r>
              <m:t>t</m:t>
            </m:r>
            <m:r>
              <m:t>o</m:t>
            </m:r>
            <m:r>
              <m:t>t</m:t>
            </m:r>
          </m:sub>
        </m:sSub>
      </m:oMath>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as well as variables mentioned above.</w:t>
      </w:r>
      <w:r>
        <w:br/>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7"/>
    <w:bookmarkEnd w:id="38"/>
    <w:bookmarkStart w:id="69" w:name="results"/>
    <w:p>
      <w:pPr>
        <w:pStyle w:val="Heading1"/>
      </w:pPr>
      <w:r>
        <w:t xml:space="preserve">Results</w:t>
      </w:r>
    </w:p>
    <w:bookmarkStart w:id="42" w:name="sites-microclimate"/>
    <w:p>
      <w:pPr>
        <w:pStyle w:val="Heading2"/>
      </w:pPr>
      <w:r>
        <w:t xml:space="preserve">Sites microclimate</w:t>
      </w:r>
    </w:p>
    <w:p>
      <w:pPr>
        <w:pStyle w:val="CaptionedFigure"/>
      </w:pPr>
      <w:r>
        <w:drawing>
          <wp:inline>
            <wp:extent cx="3200400" cy="3200400"/>
            <wp:effectExtent b="0" l="0" r="0" t="0"/>
            <wp:docPr descr="Climatic parameters and respirations measured at the sites (mean values after loess interpolation with span = 0.5). Please notice thot not every time series covers the same period of time. Red shades = France, green shades = Romania, blue shades = Spain" title="" id="40" name="Picture"/>
            <a:graphic>
              <a:graphicData uri="http://schemas.openxmlformats.org/drawingml/2006/picture">
                <pic:pic>
                  <pic:nvPicPr>
                    <pic:cNvPr descr="../Figures/climatedata_means.png" id="41" name="Picture"/>
                    <pic:cNvPicPr>
                      <a:picLocks noChangeArrowheads="1" noChangeAspect="1"/>
                    </pic:cNvPicPr>
                  </pic:nvPicPr>
                  <pic:blipFill>
                    <a:blip r:embed="rId3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and respirations measured at the sites (mean values after loess interpolation with span = 0.5). Please notice thot not every time series covers the same period of time. Red shades = France, green shades = Romania, blue shades = Spain</w:t>
      </w:r>
    </w:p>
    <w:bookmarkEnd w:id="42"/>
    <w:bookmarkStart w:id="49"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44" name="Picture"/>
            <a:graphic>
              <a:graphicData uri="http://schemas.openxmlformats.org/drawingml/2006/picture">
                <pic:pic>
                  <pic:nvPicPr>
                    <pic:cNvPr descr="../Figures/fit_ML_validation.png" id="45" name="Picture"/>
                    <pic:cNvPicPr>
                      <a:picLocks noChangeArrowheads="1" noChangeAspect="1"/>
                    </pic:cNvPicPr>
                  </pic:nvPicPr>
                  <pic:blipFill>
                    <a:blip r:embed="rId43"/>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title="" id="47" name="Picture"/>
            <a:graphic>
              <a:graphicData uri="http://schemas.openxmlformats.org/drawingml/2006/picture">
                <pic:pic>
                  <pic:nvPicPr>
                    <pic:cNvPr descr="../Figures/fit_model_validation.png" id="48" name="Picture"/>
                    <pic:cNvPicPr>
                      <a:picLocks noChangeArrowheads="1" noChangeAspect="1"/>
                    </pic:cNvPicPr>
                  </pic:nvPicPr>
                  <pic:blipFill>
                    <a:blip r:embed="rId46"/>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w:t>
      </w:r>
    </w:p>
    <w:bookmarkEnd w:id="49"/>
    <w:bookmarkStart w:id="56" w:name="parametric-model-posteriors"/>
    <w:p>
      <w:pPr>
        <w:pStyle w:val="Heading2"/>
      </w:pPr>
      <w:r>
        <w:t xml:space="preserve">Parametric model posteriors</w:t>
      </w:r>
    </w:p>
    <w:p>
      <w:pPr>
        <w:pStyle w:val="CaptionedFigure"/>
      </w:pPr>
      <w:r>
        <w:drawing>
          <wp:inline>
            <wp:extent cx="3200400" cy="3200400"/>
            <wp:effectExtent b="0" l="0" r="0" t="0"/>
            <wp:docPr descr="Posteriors of the parameters varying as a function of treatments" title="" id="51" name="Picture"/>
            <a:graphic>
              <a:graphicData uri="http://schemas.openxmlformats.org/drawingml/2006/picture">
                <pic:pic>
                  <pic:nvPicPr>
                    <pic:cNvPr descr="../Figures/posteriors_boxplots.png" id="52" name="Picture"/>
                    <pic:cNvPicPr>
                      <a:picLocks noChangeArrowheads="1" noChangeAspect="1"/>
                    </pic:cNvPicPr>
                  </pic:nvPicPr>
                  <pic:blipFill>
                    <a:blip r:embed="rId50"/>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p>
    <w:p>
      <w:pPr>
        <w:pStyle w:val="CaptionedFigure"/>
      </w:pPr>
      <w:r>
        <w:drawing>
          <wp:inline>
            <wp:extent cx="3200400" cy="1371600"/>
            <wp:effectExtent b="0" l="0" r="0" t="0"/>
            <wp:docPr descr="Posteriors of the scaling parameter, varying as a function of single plots" title="" id="54" name="Picture"/>
            <a:graphic>
              <a:graphicData uri="http://schemas.openxmlformats.org/drawingml/2006/picture">
                <pic:pic>
                  <pic:nvPicPr>
                    <pic:cNvPr descr="../Figures/posteriors_boxplots_A.png" id="55" name="Picture"/>
                    <pic:cNvPicPr>
                      <a:picLocks noChangeArrowheads="1" noChangeAspect="1"/>
                    </pic:cNvPicPr>
                  </pic:nvPicPr>
                  <pic:blipFill>
                    <a:blip r:embed="rId53"/>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bookmarkEnd w:id="56"/>
    <w:bookmarkStart w:id="60" w:name="X3a140b93185bbe1700dc8cd6e66def029828693"/>
    <w:p>
      <w:pPr>
        <w:pStyle w:val="Heading2"/>
      </w:pPr>
      <w:r>
        <w:t xml:space="preserve">Machine learning variance decomposition: predicting the whole dataset based on ecological variables</w:t>
      </w:r>
    </w:p>
    <w:p>
      <w:pPr>
        <w:pStyle w:val="FirstParagraph"/>
      </w:pPr>
      <w:r>
        <w:t xml:space="preserve">The fitness of the detailed random forest model (fitted only on data from Spain) was the highest of all the models we tested, unsurprisingly given the huge amount of predictors compared with all other models.</w:t>
      </w:r>
      <w:r>
        <w:br/>
      </w:r>
      <w:r>
        <w:t xml:space="preserve">Soil temperature and moisture resulted the most important variables in predicting respiration from each site by far, followed by edaphic characteristics of the site (density and porosity), then by treatment, and then again by edaphic site characteristics (namely pH and total C). Only afterwards the first variable related to aboveground vegetation. Variables related to biomass, total and specific to microorganisms classes, come only later and did not seem particularly important.</w:t>
      </w:r>
      <w:r>
        <w:br/>
      </w:r>
      <w:r>
        <w:drawing>
          <wp:inline>
            <wp:extent cx="2667000" cy="5334000"/>
            <wp:effectExtent b="0" l="0" r="0" t="0"/>
            <wp:docPr descr="Fit of the detailed random forest model (a) and variable importance of the same model (b)" title="" id="58" name="Picture"/>
            <a:graphic>
              <a:graphicData uri="http://schemas.openxmlformats.org/drawingml/2006/picture">
                <pic:pic>
                  <pic:nvPicPr>
                    <pic:cNvPr descr="../Figures/variance_decomposition.png" id="59" name="Picture"/>
                    <pic:cNvPicPr>
                      <a:picLocks noChangeArrowheads="1" noChangeAspect="1"/>
                    </pic:cNvPicPr>
                  </pic:nvPicPr>
                  <pic:blipFill>
                    <a:blip r:embed="rId57"/>
                    <a:stretch>
                      <a:fillRect/>
                    </a:stretch>
                  </pic:blipFill>
                  <pic:spPr bwMode="auto">
                    <a:xfrm>
                      <a:off x="0" y="0"/>
                      <a:ext cx="2667000" cy="5334000"/>
                    </a:xfrm>
                    <a:prstGeom prst="rect">
                      <a:avLst/>
                    </a:prstGeom>
                    <a:noFill/>
                    <a:ln w="9525">
                      <a:noFill/>
                      <a:headEnd/>
                      <a:tailEnd/>
                    </a:ln>
                  </pic:spPr>
                </pic:pic>
              </a:graphicData>
            </a:graphic>
          </wp:inline>
        </w:drawing>
      </w:r>
    </w:p>
    <w:bookmarkEnd w:id="60"/>
    <w:bookmarkStart w:id="64" w:name="X5d4a180e69bb0a0df33cf2aa7cfed61033766ad"/>
    <w:p>
      <w:pPr>
        <w:pStyle w:val="Heading2"/>
      </w:pPr>
      <w:r>
        <w:t xml:space="preserve">Machine learning variance decomposition: predicting a substet based on soil enzymatic data</w:t>
      </w:r>
    </w:p>
    <w:p>
      <w:pPr>
        <w:pStyle w:val="CaptionedFigure"/>
      </w:pPr>
      <w:r>
        <w:drawing>
          <wp:inline>
            <wp:extent cx="2667000" cy="5334000"/>
            <wp:effectExtent b="0" l="0" r="0" t="0"/>
            <wp:docPr descr="Fit of the detailed random forest model (a) and variable importance of the same model (b)" title="" id="62" name="Picture"/>
            <a:graphic>
              <a:graphicData uri="http://schemas.openxmlformats.org/drawingml/2006/picture">
                <pic:pic>
                  <pic:nvPicPr>
                    <pic:cNvPr descr="../Figures/variance_decomposition_enzyme.png" id="63" name="Picture"/>
                    <pic:cNvPicPr>
                      <a:picLocks noChangeArrowheads="1" noChangeAspect="1"/>
                    </pic:cNvPicPr>
                  </pic:nvPicPr>
                  <pic:blipFill>
                    <a:blip r:embed="rId61"/>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w:t>
      </w:r>
    </w:p>
    <w:bookmarkEnd w:id="64"/>
    <w:bookmarkStart w:id="68"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66" name="Picture"/>
            <a:graphic>
              <a:graphicData uri="http://schemas.openxmlformats.org/drawingml/2006/picture">
                <pic:pic>
                  <pic:nvPicPr>
                    <pic:cNvPr descr="../Figures/scenario_extrapolation.png" id="67" name="Picture"/>
                    <pic:cNvPicPr>
                      <a:picLocks noChangeArrowheads="1" noChangeAspect="1"/>
                    </pic:cNvPicPr>
                  </pic:nvPicPr>
                  <pic:blipFill>
                    <a:blip r:embed="rId65"/>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68"/>
    <w:bookmarkEnd w:id="69"/>
    <w:bookmarkStart w:id="74" w:name="discussion"/>
    <w:p>
      <w:pPr>
        <w:pStyle w:val="Heading1"/>
      </w:pPr>
      <w:r>
        <w:t xml:space="preserve">Discussion</w:t>
      </w:r>
    </w:p>
    <w:bookmarkStart w:id="70"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0"/>
    <w:bookmarkStart w:id="71" w:name="Xd59c9ca9d0826ee9ad8bd183c65e62f396e6454"/>
    <w:p>
      <w:pPr>
        <w:pStyle w:val="Heading2"/>
      </w:pPr>
      <w:r>
        <w:t xml:space="preserve">Activation energy of different organic material</w:t>
      </w:r>
    </w:p>
    <w:bookmarkEnd w:id="71"/>
    <w:bookmarkStart w:id="72"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72"/>
    <w:bookmarkStart w:id="73" w:name="X41308b9efd7772b845d77faaeec9a7efe3ec149"/>
    <w:p>
      <w:pPr>
        <w:pStyle w:val="Heading2"/>
      </w:pPr>
      <w:r>
        <w:t xml:space="preserve">Consequences of different temperature sensitivity of organic material in reacting to warming</w:t>
      </w:r>
    </w:p>
    <w:bookmarkEnd w:id="73"/>
    <w:bookmarkEnd w:id="74"/>
    <w:bookmarkStart w:id="75" w:name="conclusions"/>
    <w:p>
      <w:pPr>
        <w:pStyle w:val="Heading1"/>
      </w:pPr>
      <w:r>
        <w:t xml:space="preserve">Conclusions</w:t>
      </w:r>
    </w:p>
    <w:bookmarkEnd w:id="75"/>
    <w:bookmarkStart w:id="76" w:name="references"/>
    <w:p>
      <w:pPr>
        <w:pStyle w:val="Heading1"/>
      </w:pPr>
      <w:r>
        <w:t xml:space="preserve">References</w:t>
      </w:r>
    </w:p>
    <w:bookmarkEnd w:id="76"/>
    <w:bookmarkStart w:id="112" w:name="appendix"/>
    <w:p>
      <w:pPr>
        <w:pStyle w:val="Heading1"/>
      </w:pPr>
      <w:r>
        <w:t xml:space="preserve">Appendix</w:t>
      </w:r>
    </w:p>
    <w:p>
      <w:pPr>
        <w:pStyle w:val="CaptionedFigure"/>
      </w:pPr>
      <w:r>
        <w:drawing>
          <wp:inline>
            <wp:extent cx="5334000" cy="2667000"/>
            <wp:effectExtent b="0" l="0" r="0" t="0"/>
            <wp:docPr descr="Posteriors of the parameters of the temperature function, plotted as density distributions" title="" id="78" name="Picture"/>
            <a:graphic>
              <a:graphicData uri="http://schemas.openxmlformats.org/drawingml/2006/picture">
                <pic:pic>
                  <pic:nvPicPr>
                    <pic:cNvPr descr="../Figures/posteriors_temp.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81" name="Picture"/>
            <a:graphic>
              <a:graphicData uri="http://schemas.openxmlformats.org/drawingml/2006/picture">
                <pic:pic>
                  <pic:nvPicPr>
                    <pic:cNvPr descr="../Figures/posteriors_seasonality.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84" name="Picture"/>
            <a:graphic>
              <a:graphicData uri="http://schemas.openxmlformats.org/drawingml/2006/picture">
                <pic:pic>
                  <pic:nvPicPr>
                    <pic:cNvPr descr="../Figures/posteriors_moisture.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87" name="Picture"/>
            <a:graphic>
              <a:graphicData uri="http://schemas.openxmlformats.org/drawingml/2006/picture">
                <pic:pic>
                  <pic:nvPicPr>
                    <pic:cNvPr descr="../Figures/Amplitude_ratio.png" id="88" name="Picture"/>
                    <pic:cNvPicPr>
                      <a:picLocks noChangeArrowheads="1" noChangeAspect="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90" name="Picture"/>
            <a:graphic>
              <a:graphicData uri="http://schemas.openxmlformats.org/drawingml/2006/picture">
                <pic:pic>
                  <pic:nvPicPr>
                    <pic:cNvPr descr="../Figures/Temp.png" id="91" name="Picture"/>
                    <pic:cNvPicPr>
                      <a:picLocks noChangeArrowheads="1" noChangeAspect="1"/>
                    </pic:cNvPicPr>
                  </pic:nvPicPr>
                  <pic:blipFill>
                    <a:blip r:embed="rId89"/>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93" name="Picture"/>
            <a:graphic>
              <a:graphicData uri="http://schemas.openxmlformats.org/drawingml/2006/picture">
                <pic:pic>
                  <pic:nvPicPr>
                    <pic:cNvPr descr="../Figures/Moist.png" id="94" name="Picture"/>
                    <pic:cNvPicPr>
                      <a:picLocks noChangeArrowheads="1" noChangeAspect="1"/>
                    </pic:cNvPicPr>
                  </pic:nvPicPr>
                  <pic:blipFill>
                    <a:blip r:embed="rId92"/>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96" name="Picture"/>
            <a:graphic>
              <a:graphicData uri="http://schemas.openxmlformats.org/drawingml/2006/picture">
                <pic:pic>
                  <pic:nvPicPr>
                    <pic:cNvPr descr="../Figures/Season.png" id="97" name="Picture"/>
                    <pic:cNvPicPr>
                      <a:picLocks noChangeArrowheads="1" noChangeAspect="1"/>
                    </pic:cNvPicPr>
                  </pic:nvPicPr>
                  <pic:blipFill>
                    <a:blip r:embed="rId95"/>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bookmarkStart w:id="111" w:name="refs"/>
    <w:bookmarkStart w:id="99"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98">
        <w:r>
          <w:rPr>
            <w:rStyle w:val="Hyperlink"/>
          </w:rPr>
          <w:t xml:space="preserve">https://doi.org/10.5194/gmd-5-1045-2012</w:t>
        </w:r>
      </w:hyperlink>
      <w:r>
        <w:t xml:space="preserve">.</w:t>
      </w:r>
    </w:p>
    <w:bookmarkEnd w:id="99"/>
    <w:bookmarkStart w:id="100"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00"/>
    <w:bookmarkStart w:id="102"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01">
        <w:r>
          <w:rPr>
            <w:rStyle w:val="Hyperlink"/>
          </w:rPr>
          <w:t xml:space="preserve">https://CRAN.R-project.org/package=randomForest</w:t>
        </w:r>
      </w:hyperlink>
      <w:r>
        <w:t xml:space="preserve">.</w:t>
      </w:r>
    </w:p>
    <w:bookmarkEnd w:id="102"/>
    <w:bookmarkStart w:id="104"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03">
        <w:r>
          <w:rPr>
            <w:rStyle w:val="Hyperlink"/>
          </w:rPr>
          <w:t xml:space="preserve">https://doi.org/10.2307/2389824</w:t>
        </w:r>
      </w:hyperlink>
      <w:r>
        <w:t xml:space="preserve">.</w:t>
      </w:r>
    </w:p>
    <w:bookmarkEnd w:id="104"/>
    <w:bookmarkStart w:id="106"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05">
        <w:r>
          <w:rPr>
            <w:rStyle w:val="Hyperlink"/>
          </w:rPr>
          <w:t xml:space="preserve">https://www.R-project.org/</w:t>
        </w:r>
      </w:hyperlink>
      <w:r>
        <w:t xml:space="preserve">.</w:t>
      </w:r>
    </w:p>
    <w:bookmarkEnd w:id="106"/>
    <w:bookmarkStart w:id="108"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07">
        <w:r>
          <w:rPr>
            <w:rStyle w:val="Hyperlink"/>
          </w:rPr>
          <w:t xml:space="preserve">http://mc-stan.org/ 18</w:t>
        </w:r>
      </w:hyperlink>
      <w:r>
        <w:t xml:space="preserve">.</w:t>
      </w:r>
    </w:p>
    <w:bookmarkEnd w:id="108"/>
    <w:bookmarkStart w:id="110"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09">
        <w:r>
          <w:rPr>
            <w:rStyle w:val="Hyperlink"/>
          </w:rPr>
          <w:t xml:space="preserve">https://mc-stan.org/</w:t>
        </w:r>
      </w:hyperlink>
      <w:r>
        <w:t xml:space="preserve">.</w:t>
      </w:r>
    </w:p>
    <w:bookmarkEnd w:id="110"/>
    <w:bookmarkEnd w:id="111"/>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83" Target="media/rId83.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hyperlink" Id="rId107" Target="http://mc-stan.org/ 18" TargetMode="External" /><Relationship Type="http://schemas.openxmlformats.org/officeDocument/2006/relationships/hyperlink" Id="rId101" Target="https://CRAN.R-project.org/package=randomForest" TargetMode="External" /><Relationship Type="http://schemas.openxmlformats.org/officeDocument/2006/relationships/hyperlink" Id="rId103" Target="https://doi.org/10.2307/2389824" TargetMode="External" /><Relationship Type="http://schemas.openxmlformats.org/officeDocument/2006/relationships/hyperlink" Id="rId98" Target="https://doi.org/10.5194/gmd-5-1045-2012" TargetMode="External" /><Relationship Type="http://schemas.openxmlformats.org/officeDocument/2006/relationships/hyperlink" Id="rId109" Target="https://mc-stan.org/" TargetMode="External" /><Relationship Type="http://schemas.openxmlformats.org/officeDocument/2006/relationships/hyperlink" Id="rId105"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7" Target="http://mc-stan.org/ 18" TargetMode="External" /><Relationship Type="http://schemas.openxmlformats.org/officeDocument/2006/relationships/hyperlink" Id="rId101" Target="https://CRAN.R-project.org/package=randomForest" TargetMode="External" /><Relationship Type="http://schemas.openxmlformats.org/officeDocument/2006/relationships/hyperlink" Id="rId103" Target="https://doi.org/10.2307/2389824" TargetMode="External" /><Relationship Type="http://schemas.openxmlformats.org/officeDocument/2006/relationships/hyperlink" Id="rId98" Target="https://doi.org/10.5194/gmd-5-1045-2012" TargetMode="External" /><Relationship Type="http://schemas.openxmlformats.org/officeDocument/2006/relationships/hyperlink" Id="rId109" Target="https://mc-stan.org/" TargetMode="External" /><Relationship Type="http://schemas.openxmlformats.org/officeDocument/2006/relationships/hyperlink" Id="rId10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2024-09-11T13:29:51Z</dcterms:created>
  <dcterms:modified xsi:type="dcterms:W3CDTF">2024-09-11T13:29:51Z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